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/>
    <w:p/>
    <w:p/>
    <w:p>
      <w:pPr>
        <w:ind w:left="454"/>
        <w:jc w:val="left"/>
      </w:pPr>
      <w:r>
        <w:rPr>
          <w:b/>
          <w:color w:val="0F766E"/>
          <w:sz w:val="56"/>
        </w:rPr>
        <w:t>SOP - invoicing + late payment follow up</w:t>
      </w:r>
    </w:p>
    <w:p>
      <w:pPr>
        <w:ind w:left="454"/>
        <w:jc w:val="left"/>
      </w:pPr>
      <w:r>
        <w:rPr>
          <w:color w:val="595959"/>
          <w:sz w:val="28"/>
        </w:rPr>
        <w:t>Juniper Row Studio - finance/admin</w:t>
      </w:r>
    </w:p>
    <w:p>
      <w:r>
        <w:br w:type="page"/>
      </w:r>
    </w:p>
    <w:p>
      <w:pPr>
        <w:pStyle w:val="Heading1"/>
      </w:pPr>
      <w:r>
        <w:t>SOP - invoicing + late payment follow up</w:t>
      </w:r>
    </w:p>
    <w:p>
      <w:r>
        <w:t>Juniper Row Studio - finance/admin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9BEC6"/>
          <w:left w:val="single" w:sz="4" w:space="0" w:color="B9BEC6"/>
          <w:bottom w:val="single" w:sz="4" w:space="0" w:color="B9BEC6"/>
          <w:right w:val="single" w:sz="4" w:space="0" w:color="B9BEC6"/>
          <w:insideH w:val="single" w:sz="4" w:space="0" w:color="B9BEC6"/>
          <w:insideV w:val="single" w:sz="4" w:space="0" w:color="B9BEC6"/>
        </w:tblBorders>
      </w:tblPr>
      <w:tblGrid>
        <w:gridCol w:w="4680"/>
        <w:gridCol w:w="4680"/>
      </w:tblGrid>
      <w:tr>
        <w:trPr>
          <w:tblHeader w:val="true"/>
          <w:cantSplit w:val="true"/>
        </w:trPr>
        <w:tc>
          <w:tcPr>
            <w:tcW w:type="dxa" w:w="468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sop number</w:t>
            </w:r>
          </w:p>
        </w:tc>
        <w:tc>
          <w:tcPr>
            <w:tcW w:type="dxa" w:w="468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SOP-FIN-003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version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4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effective date</w:t>
            </w:r>
          </w:p>
        </w:tc>
        <w:tc>
          <w:tcPr>
            <w:tcW w:type="dxa" w:w="468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09/01/2026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owner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ops manager (Priya Nair)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approved by</w:t>
            </w:r>
          </w:p>
        </w:tc>
        <w:tc>
          <w:tcPr>
            <w:tcW w:type="dxa" w:w="468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founder (Sam Whitlock)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review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every 12 months, or sooner if the process changes</w:t>
            </w:r>
          </w:p>
        </w:tc>
      </w:tr>
    </w:tbl>
    <w:p/>
    <w:p>
      <w:pPr>
        <w:pStyle w:val="Heading2"/>
      </w:pPr>
      <w:r>
        <w:t>1. purpose</w:t>
      </w:r>
    </w:p>
    <w:p>
      <w:r>
        <w:t>so every client gets invoiced on time and the same way, and late payments get chased politely and consistently without Sam having to do it. we're 8 people - cash flow matters</w:t>
      </w:r>
    </w:p>
    <w:p>
      <w:pPr>
        <w:pStyle w:val="Heading2"/>
      </w:pPr>
      <w:r>
        <w:t>2. scope</w:t>
      </w:r>
    </w:p>
    <w:p>
      <w:r>
        <w:t>all client invoices - project milestones and monthly retainers. does NOT cover supplier bills (SOP-FIN-004) or refunds / disputed work (talk to Sam)</w:t>
      </w:r>
    </w:p>
    <w:p>
      <w:pPr>
        <w:pStyle w:val="Heading2"/>
      </w:pPr>
      <w:r>
        <w:t>3. who does what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9BEC6"/>
          <w:left w:val="single" w:sz="4" w:space="0" w:color="B9BEC6"/>
          <w:bottom w:val="single" w:sz="4" w:space="0" w:color="B9BEC6"/>
          <w:right w:val="single" w:sz="4" w:space="0" w:color="B9BEC6"/>
          <w:insideH w:val="single" w:sz="4" w:space="0" w:color="B9BEC6"/>
          <w:insideV w:val="single" w:sz="4" w:space="0" w:color="B9BEC6"/>
        </w:tblBorders>
      </w:tblPr>
      <w:tblGrid>
        <w:gridCol w:w="4680"/>
        <w:gridCol w:w="4680"/>
      </w:tblGrid>
      <w:tr>
        <w:trPr>
          <w:tblHeader w:val="true"/>
          <w:cantSplit w:val="true"/>
        </w:trPr>
        <w:tc>
          <w:tcPr>
            <w:tcW w:type="dxa" w:w="468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468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responsibility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ops manager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raises invoices, sends reminders, keeps the invoice tracker up to date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project lead</w:t>
            </w:r>
          </w:p>
        </w:tc>
        <w:tc>
          <w:tcPr>
            <w:tcW w:type="dxa" w:w="468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confirms the milestone is signed off before we invoice, makes the day 14 call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founder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day 30 call, decides on pausing work, approves any write-off</w:t>
            </w:r>
          </w:p>
        </w:tc>
      </w:tr>
    </w:tbl>
    <w:p/>
    <w:p>
      <w:pPr>
        <w:pStyle w:val="Heading2"/>
      </w:pPr>
      <w:r>
        <w:t>4. terms we use</w:t>
      </w:r>
    </w:p>
    <w:p>
      <w:pPr>
        <w:pStyle w:val="ListBullet"/>
      </w:pPr>
      <w:r>
        <w:t>net 30 - payment is due 30 days after the invoice date</w:t>
      </w:r>
    </w:p>
    <w:p>
      <w:pPr>
        <w:pStyle w:val="ListBullet"/>
      </w:pPr>
      <w:r>
        <w:t>overdue - any day after the due date</w:t>
      </w:r>
    </w:p>
    <w:p>
      <w:pPr>
        <w:pStyle w:val="ListBullet"/>
      </w:pPr>
      <w:r>
        <w:t>statement - a list of all a client's open invoices, from Ledgerly</w:t>
      </w:r>
    </w:p>
    <w:p>
      <w:pPr>
        <w:pStyle w:val="ListBullet"/>
      </w:pPr>
      <w:r>
        <w:t>pause - we stop work on the project until the account is up to date</w:t>
      </w:r>
    </w:p>
    <w:p>
      <w:pPr>
        <w:pStyle w:val="Heading2"/>
      </w:pPr>
      <w:r>
        <w:t>5. before you start</w:t>
      </w:r>
    </w:p>
    <w:p>
      <w:r>
        <w:t>you need: Ledgerly login (finance role), edit access to the invoice tracker sheet, and the client's BILLING contact from the client card - not the project contact, they're often different people</w:t>
      </w:r>
    </w:p>
    <w:p>
      <w:pPr>
        <w:pStyle w:val="Heading3"/>
      </w:pPr>
      <w:r>
        <w:t>the process at a glance</w:t>
      </w:r>
    </w:p>
    <w:p>
      <w:pPr>
        <w:spacing w:before="200" w:after="2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667375" cy="23236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2323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6. raising an invoice</w:t>
      </w:r>
    </w:p>
    <w:p>
      <w:pPr>
        <w:pStyle w:val="ListNumber"/>
        <w:numPr>
          <w:ilvl w:val="0"/>
          <w:numId w:val="12"/>
        </w:numPr>
      </w:pPr>
      <w:r>
        <w:t>check the milestone is signed off on the project board (for retainers: invoice on the 1st of the month)</w:t>
      </w:r>
    </w:p>
    <w:p>
      <w:pPr>
        <w:pStyle w:val="ListNumber"/>
        <w:numPr>
          <w:ilvl w:val="0"/>
          <w:numId w:val="12"/>
        </w:numPr>
      </w:pPr>
      <w:r>
        <w:t>in Ledgerly go to Sales &gt; New invoice and pick the client</w:t>
      </w:r>
    </w:p>
    <w:p>
      <w:pPr>
        <w:pStyle w:val="ListNumber"/>
        <w:numPr>
          <w:ilvl w:val="0"/>
          <w:numId w:val="12"/>
        </w:numPr>
      </w:pPr>
      <w:r>
        <w:t>invoice date = today, terms = net 30 unless the contract says different (check the client card)</w:t>
      </w:r>
    </w:p>
    <w:p>
      <w:pPr>
        <w:pStyle w:val="ListNumber"/>
        <w:numPr>
          <w:ilvl w:val="0"/>
          <w:numId w:val="12"/>
        </w:numPr>
      </w:pPr>
      <w:r>
        <w:t>line item = the milestone name from the proposal, e.g. "Phase 2 - website design". add the PO number if the client gave us one - some clients won't pay without it</w:t>
      </w:r>
    </w:p>
    <w:p>
      <w:pPr>
        <w:pStyle w:val="ListNumber"/>
        <w:numPr>
          <w:ilvl w:val="0"/>
          <w:numId w:val="12"/>
        </w:numPr>
      </w:pPr>
      <w:r>
        <w:t>check amount, sales tax and billing address against the proposal</w:t>
      </w:r>
    </w:p>
    <w:p>
      <w:pPr>
        <w:pStyle w:val="ListNumber"/>
        <w:numPr>
          <w:ilvl w:val="0"/>
          <w:numId w:val="12"/>
        </w:numPr>
      </w:pPr>
      <w:r>
        <w:t>send from Ledgerly to the billing contact, cc the project lead</w:t>
      </w:r>
    </w:p>
    <w:p>
      <w:pPr>
        <w:pStyle w:val="ListNumber"/>
        <w:numPr>
          <w:ilvl w:val="0"/>
          <w:numId w:val="12"/>
        </w:numPr>
      </w:pPr>
      <w:r>
        <w:t>log it in the tracker: invoice no, client, amount, date sent, due date</w:t>
      </w:r>
    </w:p>
    <w:p>
      <w:pPr>
        <w:spacing w:before="200" w:after="2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029200" cy="3143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7. Following up late payments</w:t>
      </w:r>
    </w:p>
    <w:p>
      <w:pPr>
        <w:pStyle w:val="Heading3"/>
      </w:pPr>
      <w:r>
        <w:t>reminder schedule (days are counted from the due date)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9BEC6"/>
          <w:left w:val="single" w:sz="4" w:space="0" w:color="B9BEC6"/>
          <w:bottom w:val="single" w:sz="4" w:space="0" w:color="B9BEC6"/>
          <w:right w:val="single" w:sz="4" w:space="0" w:color="B9BEC6"/>
          <w:insideH w:val="single" w:sz="4" w:space="0" w:color="B9BEC6"/>
          <w:insideV w:val="single" w:sz="4" w:space="0" w:color="B9BEC6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  <w:cantSplit w:val="true"/>
        </w:trPr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what</w:t>
            </w:r>
          </w:p>
        </w:tc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who</w:t>
            </w:r>
          </w:p>
        </w:tc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how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3 days before due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friendly heads-up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ops manager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email - template A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1 day overdue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reminder 1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ops manager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email - template B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7 days overdue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reminder 2 + statement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ops manager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email - template C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14 days overdue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phone call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project lead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phone, note it in the tracker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30 days overdue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final notice + founder call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founder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email - template D, then call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45 days overdue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pause work or send to collections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founder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founder decides</w:t>
            </w:r>
          </w:p>
        </w:tc>
      </w:tr>
    </w:tbl>
    <w:p/>
    <w:p>
      <w:pPr>
        <w:pStyle w:val="Heading3"/>
      </w:pPr>
      <w:r>
        <w:t>rules:</w:t>
      </w:r>
    </w:p>
    <w:p>
      <w:pPr>
        <w:pStyle w:val="ListBullet"/>
      </w:pPr>
      <w:r>
        <w:t>ALWAYS check the bank feed in Ledgerly before sending anything - the money might already be in</w:t>
      </w:r>
    </w:p>
    <w:p>
      <w:pPr>
        <w:pStyle w:val="ListBullet"/>
      </w:pPr>
      <w:r>
        <w:t>never threaten. only mention late fees if they're in that client's contract</w:t>
      </w:r>
    </w:p>
    <w:p>
      <w:pPr>
        <w:pStyle w:val="ListBullet"/>
      </w:pPr>
      <w:r>
        <w:t>log every email and call in the tracker notes column, with the date</w:t>
      </w:r>
    </w:p>
    <w:p>
      <w:pPr>
        <w:pStyle w:val="Heading3"/>
      </w:pPr>
      <w:r>
        <w:t>email templates (copy, fill in the brackets, send from the accounts inbox)</w:t>
      </w:r>
    </w:p>
    <w:p>
      <w:pPr>
        <w:pStyle w:val="Heading4"/>
      </w:pPr>
      <w:r>
        <w:t>template A - heads-up</w:t>
      </w:r>
    </w:p>
    <w:p>
      <w:r>
        <w:t>Hi [first name], just a quick heads-up that invoice [number] for [amount] is due on [date]. I've attached it again for easy reference. Thanks! Priya</w:t>
      </w:r>
    </w:p>
    <w:p>
      <w:pPr>
        <w:pStyle w:val="Heading4"/>
      </w:pPr>
      <w:r>
        <w:t>template B - reminder 1</w:t>
      </w:r>
    </w:p>
    <w:p>
      <w:r>
        <w:t>Hi [first name], invoice [number] for [amount] was due yesterday. Could you let me know when we can expect payment? If it's already on its way, please ignore this. Thanks, Priya</w:t>
      </w:r>
    </w:p>
    <w:p>
      <w:pPr>
        <w:pStyle w:val="Heading4"/>
      </w:pPr>
      <w:r>
        <w:t>template C - reminder 2</w:t>
      </w:r>
    </w:p>
    <w:p>
      <w:r>
        <w:t>Hi [first name], following up on invoice [number] ([amount]), which is now 7 days overdue. I've attached a statement of your open invoices. If there's a problem with the invoice or you need a PO number from us, just let me know and I'll sort it today. Thanks, Priya</w:t>
      </w:r>
    </w:p>
    <w:p>
      <w:pPr>
        <w:pStyle w:val="Heading4"/>
      </w:pPr>
      <w:r>
        <w:t>template D - final notice</w:t>
      </w:r>
    </w:p>
    <w:p>
      <w:r>
        <w:t>Hi [first name], invoice [number] for [amount] is now 30 days overdue. Sam will call you this week to talk it through. Under our agreement we may need to pause work on [project] until the account is up to date - we'd much rather not, so please let us know if anything is holding it up. Best, Priya</w:t>
      </w:r>
    </w:p>
    <w:p>
      <w:pPr>
        <w:pStyle w:val="Heading2"/>
      </w:pPr>
      <w:r>
        <w:t>8. weekly check (every monday)</w:t>
      </w:r>
    </w:p>
    <w:p>
      <w:pPr>
        <w:pStyle w:val="ListNumber"/>
        <w:numPr>
          <w:ilvl w:val="0"/>
          <w:numId w:val="13"/>
        </w:numPr>
      </w:pPr>
      <w:r>
        <w:t>run Reports &gt; Aged receivables in Ledgerly</w:t>
      </w:r>
    </w:p>
    <w:p>
      <w:pPr>
        <w:pStyle w:val="ListNumber"/>
        <w:numPr>
          <w:ilvl w:val="0"/>
          <w:numId w:val="13"/>
        </w:numPr>
      </w:pPr>
      <w:r>
        <w:t>match it against the tracker - fix anything that's out</w:t>
      </w:r>
    </w:p>
    <w:p>
      <w:pPr>
        <w:pStyle w:val="ListNumber"/>
        <w:numPr>
          <w:ilvl w:val="0"/>
          <w:numId w:val="13"/>
        </w:numPr>
      </w:pPr>
      <w:r>
        <w:t>send the reminders that are due this week</w:t>
      </w:r>
    </w:p>
    <w:p>
      <w:pPr>
        <w:pStyle w:val="ListNumber"/>
        <w:numPr>
          <w:ilvl w:val="0"/>
          <w:numId w:val="13"/>
        </w:numPr>
      </w:pPr>
      <w:r>
        <w:t>anything over 30 days goes to Sam at the monday ops meeting</w:t>
      </w:r>
    </w:p>
    <w:p>
      <w:pPr>
        <w:spacing w:before="200" w:after="2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029200" cy="28289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9. when a payment comes in</w:t>
      </w:r>
    </w:p>
    <w:p>
      <w:pPr>
        <w:pStyle w:val="ListBullet"/>
      </w:pPr>
      <w:r>
        <w:t>match it to the invoice in the Ledgerly bank feed so it's marked paid</w:t>
      </w:r>
    </w:p>
    <w:p>
      <w:pPr>
        <w:pStyle w:val="ListBullet"/>
      </w:pPr>
      <w:r>
        <w:t>update the tracker (date paid)</w:t>
      </w:r>
    </w:p>
    <w:p>
      <w:pPr>
        <w:pStyle w:val="ListBullet"/>
      </w:pPr>
      <w:r>
        <w:t>if they paid after a reminder, send a short thank you</w:t>
      </w:r>
    </w:p>
    <w:p>
      <w:pPr>
        <w:pStyle w:val="ListBullet"/>
      </w:pPr>
      <w:r>
        <w:t>part payment: record it, then email to confirm the balance still owed</w:t>
      </w:r>
    </w:p>
    <w:p>
      <w:pPr>
        <w:pStyle w:val="Heading2"/>
      </w:pPr>
      <w:r>
        <w:t>10. if something goes wrong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9BEC6"/>
          <w:left w:val="single" w:sz="4" w:space="0" w:color="B9BEC6"/>
          <w:bottom w:val="single" w:sz="4" w:space="0" w:color="B9BEC6"/>
          <w:right w:val="single" w:sz="4" w:space="0" w:color="B9BEC6"/>
          <w:insideH w:val="single" w:sz="4" w:space="0" w:color="B9BEC6"/>
          <w:insideV w:val="single" w:sz="4" w:space="0" w:color="B9BEC6"/>
        </w:tblBorders>
      </w:tblPr>
      <w:tblGrid>
        <w:gridCol w:w="4680"/>
        <w:gridCol w:w="4680"/>
      </w:tblGrid>
      <w:tr>
        <w:trPr>
          <w:tblHeader w:val="true"/>
          <w:cantSplit w:val="true"/>
        </w:trPr>
        <w:tc>
          <w:tcPr>
            <w:tcW w:type="dxa" w:w="468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problem</w:t>
            </w:r>
          </w:p>
        </w:tc>
        <w:tc>
          <w:tcPr>
            <w:tcW w:type="dxa" w:w="468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what to do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client says they never got the invoice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check the billing contact, resend. don't change the due date unless Sam agrees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client disputes the amount</w:t>
            </w:r>
          </w:p>
        </w:tc>
        <w:tc>
          <w:tcPr>
            <w:tcW w:type="dxa" w:w="468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stop the reminders, pass it to the project lead + Sam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client asks to pay in instalments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Sam decides. write the agreed plan in the tracker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payment bounces or is reversed</w:t>
            </w:r>
          </w:p>
        </w:tc>
        <w:tc>
          <w:tcPr>
            <w:tcW w:type="dxa" w:w="468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call the client the same day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client needs a W-9 or vendor form first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send ours from Finance/Forms the same day</w:t>
            </w:r>
          </w:p>
        </w:tc>
      </w:tr>
    </w:tbl>
    <w:p/>
    <w:p>
      <w:pPr>
        <w:pStyle w:val="Heading2"/>
      </w:pPr>
      <w:r>
        <w:t>11. records</w:t>
      </w:r>
    </w:p>
    <w:p>
      <w:r>
        <w:t>invoice tracker: shared drive &gt; Finance &gt; Invoice tracker. keep all invoice emails in the client's folder. keep everything for 7 years (tax)</w:t>
      </w:r>
    </w:p>
    <w:p>
      <w:pPr>
        <w:pStyle w:val="Heading2"/>
      </w:pPr>
      <w:r>
        <w:t>12. related SOPs</w:t>
      </w:r>
    </w:p>
    <w:p>
      <w:r>
        <w:t>SOP-FIN-001 month-end close, SOP-FIN-004 paying supplier bills, SOP-OPS-002 new client setup</w:t>
      </w:r>
    </w:p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9BEC6"/>
          <w:left w:val="single" w:sz="4" w:space="0" w:color="B9BEC6"/>
          <w:bottom w:val="single" w:sz="4" w:space="0" w:color="B9BEC6"/>
          <w:right w:val="single" w:sz="4" w:space="0" w:color="B9BEC6"/>
          <w:insideH w:val="single" w:sz="4" w:space="0" w:color="B9BEC6"/>
          <w:insideV w:val="single" w:sz="4" w:space="0" w:color="B9BEC6"/>
        </w:tblBorders>
      </w:tblPr>
      <w:tblGrid>
        <w:gridCol w:w="2340"/>
        <w:gridCol w:w="2340"/>
        <w:gridCol w:w="2340"/>
        <w:gridCol w:w="2340"/>
      </w:tblGrid>
      <w:tr>
        <w:trPr>
          <w:tblHeader w:val="true"/>
          <w:cantSplit w:val="true"/>
        </w:trPr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version</w:t>
            </w:r>
          </w:p>
        </w:tc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what changed</w:t>
            </w:r>
          </w:p>
        </w:tc>
        <w:tc>
          <w:tcPr>
            <w:tcW w:type="dxa" w:w="2340"/>
            <w:shd w:val="clear" w:color="auto" w:fill="0F766E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by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1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02/2024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first version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Sam Whitlock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2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08/2024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added the day 14 phone call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Priya Nair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3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03/2025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moved from spreadsheets to Ledgerly</w:t>
            </w:r>
          </w:p>
        </w:tc>
        <w:tc>
          <w:tcPr>
            <w:tcW w:type="dxa" w:w="234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Priya Nair</w:t>
            </w:r>
          </w:p>
        </w:tc>
      </w:tr>
      <w:tr>
        <w:trPr>
          <w:cantSplit w:val="true"/>
        </w:trPr>
        <w:tc>
          <w:tcPr>
            <w:tcW w:type="dxa" w:w="2340"/>
            <w:shd w:val="clear" w:color="auto" w:fill="DBEAE9"/>
          </w:tcPr>
          <w:p>
            <w:pPr>
              <w:ind w:left="0" w:right="0" w:firstLine="0"/>
              <w:jc w:val="left"/>
            </w:pPr>
            <w:r>
              <w:rPr>
                <w:b/>
              </w:rPr>
              <w:t>4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09/2026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added the heads-up before the due date (template A)</w:t>
            </w:r>
          </w:p>
        </w:tc>
        <w:tc>
          <w:tcPr>
            <w:tcW w:type="dxa" w:w="2340"/>
            <w:shd w:val="clear" w:color="auto" w:fill="EEF5F5"/>
          </w:tcPr>
          <w:p>
            <w:pPr>
              <w:ind w:left="0" w:right="0" w:firstLine="0"/>
              <w:jc w:val="left"/>
            </w:pPr>
            <w:r>
              <w:t>Priya Nair</w:t>
            </w:r>
          </w:p>
        </w:tc>
      </w:tr>
    </w:tbl>
    <w:p/>
    <w:p>
      <w:pPr>
        <w:pStyle w:val="Heading3"/>
      </w:pPr>
      <w:r>
        <w:t>read and understood - new finance/admin staff sign here, copy to Sam</w:t>
      </w:r>
    </w:p>
    <w:p>
      <w:pPr>
        <w:spacing w:line="440" w:lineRule="atLeast"/>
      </w:pPr>
      <w:r>
        <w:t>name ____________________ signature ____________________ date __________</w:t>
      </w:r>
    </w:p>
    <w:p>
      <w:pPr>
        <w:spacing w:line="440" w:lineRule="atLeast"/>
      </w:pPr>
      <w:r>
        <w:t>approved by ____________________ signature ____________________ date __________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pct" w:w="5000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pct" w:w="1667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32000" cy="43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1666"/>
        </w:tcPr>
        <w:p>
          <w:pPr>
            <w:spacing w:before="0" w:after="0" w:line="240" w:lineRule="auto"/>
            <w:jc w:val="center"/>
          </w:pPr>
          <w:r>
            <w:rPr>
              <w:sz w:val="18"/>
            </w:rPr>
            <w:t>SOP-FIN-003 v4</w:t>
          </w:r>
        </w:p>
      </w:tc>
      <w:tc>
        <w:tcPr>
          <w:tcW w:type="pct" w:w="1667"/>
        </w:tcPr>
        <w:p>
          <w:pPr>
            <w:spacing w:before="0" w:after="0" w:line="240" w:lineRule="auto"/>
            <w:jc w:val="right"/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540000" cy="10058400"/>
          <wp:effectExtent l="0" t="0" r="0" b="0"/>
          <wp:wrapNone/>
          <wp:docPr id="100" name="F34_bar" descr="{&quot;ids&quot;: [&quot;f34&quot;], &quot;palette&quot;: {&quot;accent&quot;: &quot;0F766E&quot;, &quot;accent_dark&quot;: &quot;134E4A&quot;, &quot;secondary&quot;: &quot;0D9488&quot;, &quot;body&quot;: &quot;333333&quot;, &quot;support&quot;: &quot;0369A1&quot;, &quot;highlight&quot;: &quot;15803D&quot;}}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540000" cy="10058400"/>
                  </a:xfrm>
                  <a:prstGeom prst="rect">
                    <a:avLst/>
                  </a:prstGeom>
                  <a:solidFill>
                    <a:srgbClr val="0F766E"/>
                  </a:solidFill>
                  <a:ln>
                    <a:noFill/>
                  </a:ln>
                </wps:spPr>
                <wps:bodyPr/>
              </wps:wsp>
            </a:graphicData>
          </a:graphic>
          <wp14:sizeRelV relativeFrom="page">
            <wp14:pctHeight>100000</wp14:pctHeight>
          </wp14:sizeRelV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594000</wp:posOffset>
          </wp:positionH>
          <wp:positionV relativeFrom="page">
            <wp:posOffset>0</wp:posOffset>
          </wp:positionV>
          <wp:extent cx="72000" cy="10058400"/>
          <wp:effectExtent l="0" t="0" r="0" b="0"/>
          <wp:wrapNone/>
          <wp:docPr id="101" name="F34_stripe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2000" cy="10058400"/>
                  </a:xfrm>
                  <a:prstGeom prst="rect">
                    <a:avLst/>
                  </a:prstGeom>
                  <a:solidFill>
                    <a:srgbClr val="0369A1"/>
                  </a:solidFill>
                  <a:ln>
                    <a:noFill/>
                  </a:ln>
                </wps:spPr>
                <wps:bodyPr/>
              </wps:wsp>
            </a:graphicData>
          </a:graphic>
          <wp14:sizeRelV relativeFrom="page">
            <wp14:pctHeight>100000</wp14:pctHeight>
          </wp14:sizeRelV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92000" cy="10058400"/>
          <wp:effectExtent l="0" t="0" r="0" b="0"/>
          <wp:wrapNone/>
          <wp:docPr id="300" name="C02_spine" descr="{&quot;design&quot;: &quot;c02&quot;, &quot;palette&quot;: {&quot;accent&quot;: &quot;0F766E&quot;, &quot;accent_dark&quot;: &quot;134E4A&quot;, &quot;secondary&quot;: &quot;0D9488&quot;, &quot;body&quot;: &quot;333333&quot;, &quot;support&quot;: &quot;0369A1&quot;, &quot;highlight&quot;: &quot;15803D&quot;}}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92000" cy="10058400"/>
                  </a:xfrm>
                  <a:prstGeom prst="rect">
                    <a:avLst/>
                  </a:prstGeom>
                  <a:solidFill>
                    <a:srgbClr val="0F766E"/>
                  </a:solidFill>
                  <a:ln>
                    <a:noFill/>
                  </a:ln>
                </wps:spPr>
                <wps:bodyPr/>
              </wps:wsp>
            </a:graphicData>
          </a:graphic>
          <wp14:sizeRelV relativeFrom="page">
            <wp14:pctHeight>100000</wp14:pctHeight>
          </wp14:sizeRelV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810000</wp:posOffset>
          </wp:positionH>
          <wp:positionV relativeFrom="page">
            <wp:posOffset>0</wp:posOffset>
          </wp:positionV>
          <wp:extent cx="90000" cy="10058400"/>
          <wp:effectExtent l="0" t="0" r="0" b="0"/>
          <wp:wrapNone/>
          <wp:docPr id="301" name="C02_stripe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90000" cy="10058400"/>
                  </a:xfrm>
                  <a:prstGeom prst="rect">
                    <a:avLst/>
                  </a:prstGeom>
                  <a:solidFill>
                    <a:srgbClr val="0D9488"/>
                  </a:solidFill>
                  <a:ln>
                    <a:noFill/>
                  </a:ln>
                </wps:spPr>
                <wps:bodyPr/>
              </wps:wsp>
            </a:graphicData>
          </a:graphic>
          <wp14:sizeRelV relativeFrom="page">
            <wp14:pctHeight>100000</wp14:pctHeight>
          </wp14:sizeRelV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1008000</wp:posOffset>
          </wp:positionH>
          <wp:positionV relativeFrom="page">
            <wp:posOffset>7538400</wp:posOffset>
          </wp:positionV>
          <wp:extent cx="1080000" cy="288000"/>
          <wp:effectExtent l="0" t="0" r="0" b="0"/>
          <wp:wrapNone/>
          <wp:docPr id="302" name="C02_block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080000" cy="288000"/>
                  </a:xfrm>
                  <a:prstGeom prst="rect">
                    <a:avLst/>
                  </a:prstGeom>
                  <a:solidFill>
                    <a:srgbClr val="0F766E">
                      <a:alpha val="40000"/>
                    </a:srgbClr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1008000</wp:posOffset>
          </wp:positionH>
          <wp:positionV relativeFrom="page">
            <wp:posOffset>7970400</wp:posOffset>
          </wp:positionV>
          <wp:extent cx="720000" cy="288000"/>
          <wp:effectExtent l="0" t="0" r="0" b="0"/>
          <wp:wrapNone/>
          <wp:docPr id="303" name="C02_block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720000" cy="288000"/>
                  </a:xfrm>
                  <a:prstGeom prst="rect">
                    <a:avLst/>
                  </a:prstGeom>
                  <a:solidFill>
                    <a:srgbClr val="0F766E">
                      <a:alpha val="22000"/>
                    </a:srgbClr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bullet"/>
      <w:suff w:val="space"/>
      <w:lvlText w:val="▌"/>
      <w:lvlJc w:val="left"/>
      <w:pPr>
        <w:ind w:left="0" w:firstLine="0"/>
      </w:pPr>
      <w:rPr>
        <w:rFonts w:ascii="Arial" w:hAnsi="Arial"/>
        <w:color w:val="0369A1"/>
      </w:rPr>
    </w:lvl>
  </w:abstractNum>
  <w:abstractNum w:abstractNumId="10">
    <w:multiLevelType w:val="singleLevel"/>
    <w:lvl w:ilvl="0">
      <w:start w:val="1"/>
      <w:numFmt w:val="bullet"/>
      <w:suff w:val="space"/>
      <w:lvlText w:val="▌"/>
      <w:lvlJc w:val="left"/>
      <w:pPr>
        <w:ind w:left="0" w:firstLine="0"/>
      </w:pPr>
      <w:rPr>
        <w:rFonts w:ascii="Arial" w:hAnsi="Arial"/>
        <w:color w:val="15803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numPr>
        <w:ilvl w:val="0"/>
        <w:numId w:val="10"/>
      </w:numPr>
      <w:spacing w:before="320" w:after="160" w:line="240" w:lineRule="auto"/>
      <w:outlineLvl w:val="0"/>
    </w:pPr>
    <w:rPr>
      <w:rFonts w:eastAsiaTheme="majorEastAsia" w:cstheme="majorBidi" w:ascii="Corbel" w:hAnsi="Corbel"/>
      <w:b/>
      <w:bCs/>
      <w:color w:val="134E4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numPr>
        <w:ilvl w:val="0"/>
        <w:numId w:val="11"/>
      </w:numPr>
      <w:spacing w:before="240" w:after="120" w:line="240" w:lineRule="auto"/>
      <w:outlineLvl w:val="1"/>
    </w:pPr>
    <w:rPr>
      <w:rFonts w:eastAsiaTheme="majorEastAsia" w:cstheme="majorBidi" w:ascii="Corbel" w:hAnsi="Corbel"/>
      <w:b/>
      <w:bCs/>
      <w:color w:val="0F766E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40" w:lineRule="auto"/>
      <w:outlineLvl w:val="2"/>
    </w:pPr>
    <w:rPr>
      <w:rFonts w:eastAsiaTheme="majorEastAsia" w:cstheme="majorBidi" w:ascii="Corbel" w:hAnsi="Corbel"/>
      <w:b/>
      <w:bCs/>
      <w:color w:val="0F766E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20" w:after="40"/>
      <w:outlineLvl w:val="3"/>
    </w:pPr>
    <w:rPr>
      <w:rFonts w:eastAsiaTheme="majorEastAsia" w:cstheme="majorBidi" w:ascii="Corbel" w:hAnsi="Corbel"/>
      <w:b/>
      <w:bCs/>
      <w:i/>
      <w:iCs/>
      <w:color w:val="134E4A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80" w:after="40"/>
      <w:outlineLvl w:val="4"/>
    </w:pPr>
    <w:rPr>
      <w:rFonts w:eastAsiaTheme="majorEastAsia" w:cstheme="majorBidi" w:ascii="Corbel" w:hAnsi="Corbel"/>
      <w:b/>
      <w:color w:val="134E4A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80" w:after="40"/>
      <w:outlineLvl w:val="5"/>
    </w:pPr>
    <w:rPr>
      <w:rFonts w:eastAsiaTheme="majorEastAsia" w:cstheme="majorBidi" w:ascii="Corbel" w:hAnsi="Corbel"/>
      <w:i/>
      <w:iCs/>
      <w:color w:val="134E4A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120" w:line="240" w:lineRule="auto"/>
      <w:contextualSpacing/>
    </w:pPr>
    <w:rPr>
      <w:rFonts w:eastAsiaTheme="majorEastAsia" w:cstheme="majorBidi" w:ascii="Corbel" w:hAnsi="Corbel"/>
      <w:b/>
      <w:color w:val="134E4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widowControl/>
      <w:pBdr>
        <w:left w:val="single" w:sz="18" w:space="8" w:color="9FC8C5"/>
      </w:pBdr>
    </w:pPr>
    <w:rPr>
      <w:i/>
      <w:iCs/>
      <w:color w:val="0D9488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F766E"/>
      <w:u w:val="single" w:color="0F766E"/>
    </w:rPr>
  </w:style>
  <w:style w:type="table" w:customStyle="1" w:styleId="FormatMagicTable">
    <w:name w:val="Format Magic Table"/>
    <w:basedOn w:val="TableNormal"/>
    <w:uiPriority w:val="99"/>
    <w:tblPr>
      <w:tblStyleRowBandSize w:val="1"/>
      <w:tblStyleColBandSize w:val="1"/>
      <w:tblBorders>
        <w:top w:val="single" w:sz="4" w:space="0" w:color="B9BEC6"/>
        <w:left w:val="single" w:sz="4" w:space="0" w:color="B9BEC6"/>
        <w:bottom w:val="single" w:sz="4" w:space="0" w:color="B9BEC6"/>
        <w:right w:val="single" w:sz="4" w:space="0" w:color="B9BEC6"/>
        <w:insideH w:val="single" w:sz="4" w:space="0" w:color="B9BEC6"/>
        <w:insideV w:val="single" w:sz="4" w:space="0" w:color="B9BEC6"/>
      </w:tblBorders>
    </w:tblPr>
    <w:tblStylePr w:type="firstRow">
      <w:rPr>
        <w:b/>
        <w:color w:val="FFFFFF"/>
      </w:rPr>
      <w:tcPr>
        <w:shd w:val="clear" w:color="auto" w:fill="0F766E"/>
      </w:tcPr>
    </w:tblStylePr>
    <w:tblStylePr w:type="firstCol">
      <w:rPr>
        <w:b/>
      </w:rPr>
      <w:tcPr>
        <w:shd w:val="clear" w:color="auto" w:fill="DBEAE9"/>
      </w:tcPr>
    </w:tblStylePr>
    <w:tblStylePr w:type="band2Horz">
      <w:tcPr>
        <w:shd w:val="clear" w:color="auto" w:fill="EEF5F5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